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ascii="Times New Roman"/>
          <w:b w:val="0"/>
          <w:sz w:val="20"/>
        </w:rPr>
      </w:pPr>
    </w:p>
    <w:p>
      <w:pPr>
        <w:pStyle w:val="3"/>
        <w:ind w:left="0"/>
        <w:rPr>
          <w:rFonts w:ascii="Times New Roman"/>
          <w:b w:val="0"/>
          <w:sz w:val="20"/>
        </w:rPr>
      </w:pPr>
    </w:p>
    <w:p>
      <w:pPr>
        <w:pStyle w:val="3"/>
        <w:spacing w:before="10"/>
        <w:ind w:left="0"/>
        <w:rPr>
          <w:rFonts w:ascii="Times New Roman"/>
          <w:b w:val="0"/>
          <w:sz w:val="24"/>
        </w:rPr>
      </w:pPr>
    </w:p>
    <w:p>
      <w:pPr>
        <w:pStyle w:val="3"/>
        <w:ind w:left="27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id="_x0000_s1026" o:spid="_x0000_s1026" o:spt="203" style="height:70.3pt;width:414.15pt;" coordsize="8283,1406">
            <o:lock v:ext="edit"/>
            <v:shape id="_x0000_s1027" o:spid="_x0000_s1027" o:spt="75" type="#_x0000_t75" style="position:absolute;left:0;top:2;height:1395;width:2734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8" o:spid="_x0000_s1028" o:spt="75" type="#_x0000_t75" style="position:absolute;left:2784;top:0;height:1406;width:5498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w10:wrap type="none"/>
            <w10:anchorlock/>
          </v:group>
        </w:pict>
      </w:r>
    </w:p>
    <w:p>
      <w:pPr>
        <w:pStyle w:val="3"/>
        <w:ind w:left="0"/>
        <w:rPr>
          <w:rFonts w:ascii="Times New Roman"/>
          <w:b w:val="0"/>
          <w:sz w:val="20"/>
        </w:rPr>
      </w:pPr>
    </w:p>
    <w:p>
      <w:pPr>
        <w:pStyle w:val="3"/>
        <w:ind w:left="0"/>
        <w:rPr>
          <w:rFonts w:ascii="Times New Roman"/>
          <w:b w:val="0"/>
          <w:sz w:val="20"/>
        </w:rPr>
      </w:pPr>
    </w:p>
    <w:p>
      <w:pPr>
        <w:pStyle w:val="3"/>
        <w:ind w:left="0"/>
        <w:rPr>
          <w:rFonts w:ascii="Times New Roman"/>
          <w:b w:val="0"/>
          <w:sz w:val="20"/>
        </w:rPr>
      </w:pPr>
    </w:p>
    <w:p>
      <w:pPr>
        <w:pStyle w:val="3"/>
        <w:ind w:left="0"/>
        <w:rPr>
          <w:rFonts w:ascii="Times New Roman"/>
          <w:b w:val="0"/>
          <w:sz w:val="20"/>
        </w:rPr>
      </w:pPr>
    </w:p>
    <w:p>
      <w:pPr>
        <w:pStyle w:val="3"/>
        <w:spacing w:before="86"/>
        <w:ind w:left="433" w:right="610"/>
        <w:jc w:val="center"/>
        <w:rPr>
          <w:rFonts w:hint="eastAsia" w:ascii="Microsoft JhengHei" w:eastAsia="Microsoft JhengHei"/>
        </w:rPr>
      </w:pPr>
      <w:r>
        <w:rPr>
          <w:rFonts w:hint="default" w:ascii="Times New Roman" w:hAnsi="Times New Roman" w:eastAsia="Microsoft JhengHei" w:cs="Times New Roman"/>
          <w:b/>
          <w:bCs/>
          <w:w w:val="95"/>
        </w:rPr>
        <w:t>市中政办发〔2021〕12</w:t>
      </w:r>
      <w:r>
        <w:rPr>
          <w:rFonts w:hint="default" w:ascii="Times New Roman" w:hAnsi="Times New Roman" w:eastAsia="Microsoft JhengHei" w:cs="Times New Roman"/>
          <w:b/>
          <w:bCs/>
          <w:spacing w:val="7"/>
          <w:w w:val="95"/>
        </w:rPr>
        <w:t xml:space="preserve"> 号</w:t>
      </w:r>
    </w:p>
    <w:p>
      <w:pPr>
        <w:pStyle w:val="3"/>
        <w:spacing w:before="6"/>
        <w:ind w:left="0"/>
        <w:rPr>
          <w:rFonts w:ascii="Microsoft JhengHei"/>
          <w:sz w:val="7"/>
        </w:rPr>
      </w:pPr>
      <w:r>
        <w:pict>
          <v:rect id="_x0000_s1029" o:spid="_x0000_s1029" o:spt="1" style="position:absolute;left:0pt;margin-left:82.15pt;margin-top:8.7pt;height:1.5pt;width:423pt;mso-position-horizontal-relative:page;mso-wrap-distance-bottom:0pt;mso-wrap-distance-top:0pt;z-index:-15728640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3"/>
        <w:ind w:left="0"/>
        <w:rPr>
          <w:rFonts w:ascii="Microsoft JhengHei"/>
        </w:rPr>
      </w:pPr>
    </w:p>
    <w:p>
      <w:pPr>
        <w:pStyle w:val="3"/>
        <w:spacing w:before="7"/>
        <w:ind w:left="0"/>
        <w:rPr>
          <w:rFonts w:ascii="Microsoft JhengHei"/>
          <w:sz w:val="36"/>
        </w:rPr>
      </w:pPr>
    </w:p>
    <w:p>
      <w:pPr>
        <w:pStyle w:val="2"/>
        <w:spacing w:line="691" w:lineRule="exact"/>
        <w:jc w:val="center"/>
        <w:rPr>
          <w:rFonts w:hint="eastAsia" w:ascii="方正小标宋简体" w:hAnsi="方正小标宋简体" w:eastAsia="方正小标宋简体" w:cs="方正小标宋简体"/>
          <w:b/>
          <w:spacing w:val="20"/>
        </w:rPr>
      </w:pPr>
      <w:r>
        <w:rPr>
          <w:rFonts w:hint="eastAsia" w:ascii="方正小标宋简体" w:hAnsi="方正小标宋简体" w:eastAsia="方正小标宋简体" w:cs="方正小标宋简体"/>
          <w:b/>
          <w:spacing w:val="20"/>
          <w:w w:val="95"/>
        </w:rPr>
        <w:t>市中区人民政府办公室</w:t>
      </w:r>
    </w:p>
    <w:p>
      <w:pPr>
        <w:spacing w:before="38" w:line="184" w:lineRule="auto"/>
        <w:ind w:left="444" w:right="610" w:firstLine="0"/>
        <w:jc w:val="center"/>
        <w:rPr>
          <w:rFonts w:hint="eastAsia" w:ascii="方正小标宋简体" w:hAnsi="方正小标宋简体" w:eastAsia="方正小标宋简体" w:cs="方正小标宋简体"/>
          <w:b/>
          <w:spacing w:val="2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20"/>
          <w:w w:val="95"/>
          <w:sz w:val="44"/>
        </w:rPr>
        <w:t>关于印发《市中区农村饮用水水源保护区</w:t>
      </w:r>
      <w:r>
        <w:rPr>
          <w:rFonts w:hint="eastAsia" w:ascii="方正小标宋简体" w:hAnsi="方正小标宋简体" w:eastAsia="方正小标宋简体" w:cs="方正小标宋简体"/>
          <w:b/>
          <w:spacing w:val="20"/>
          <w:sz w:val="44"/>
        </w:rPr>
        <w:t>补充方案》的通知</w:t>
      </w:r>
    </w:p>
    <w:p>
      <w:pPr>
        <w:pStyle w:val="3"/>
        <w:spacing w:before="16"/>
        <w:ind w:left="0"/>
        <w:rPr>
          <w:sz w:val="31"/>
        </w:rPr>
      </w:pPr>
    </w:p>
    <w:p>
      <w:pPr>
        <w:pStyle w:val="3"/>
        <w:ind w:left="10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各镇人民政府，各街道办事处，区政府有关部门单位：</w:t>
      </w:r>
    </w:p>
    <w:p>
      <w:pPr>
        <w:pStyle w:val="3"/>
        <w:spacing w:before="31" w:line="252" w:lineRule="auto"/>
        <w:ind w:left="104" w:right="277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《市中区农村饮用水水源保护区补充方案》已经区政府同</w:t>
      </w:r>
      <w:r>
        <w:rPr>
          <w:rFonts w:hint="eastAsia" w:ascii="仿宋_GB2312" w:hAnsi="仿宋_GB2312" w:eastAsia="仿宋_GB2312" w:cs="仿宋_GB2312"/>
          <w:spacing w:val="30"/>
          <w:w w:val="9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意，现印发给你们，请认真抓好贯彻落实。</w:t>
      </w:r>
    </w:p>
    <w:p>
      <w:pPr>
        <w:pStyle w:val="3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11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527" w:lineRule="exact"/>
        <w:ind w:left="517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市中区人民政府办公室</w:t>
      </w:r>
    </w:p>
    <w:p>
      <w:pPr>
        <w:pStyle w:val="3"/>
        <w:spacing w:line="559" w:lineRule="exact"/>
        <w:ind w:left="5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30日</w:t>
      </w:r>
    </w:p>
    <w:p>
      <w:pPr>
        <w:pStyle w:val="3"/>
        <w:spacing w:before="2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p>
      <w:pPr>
        <w:spacing w:after="0"/>
        <w:sectPr>
          <w:footerReference r:id="rId3" w:type="default"/>
          <w:footerReference r:id="rId4" w:type="even"/>
          <w:type w:val="continuous"/>
          <w:pgSz w:w="11910" w:h="16840"/>
          <w:pgMar w:top="1580" w:right="1360" w:bottom="1580" w:left="1540" w:header="720" w:footer="1388" w:gutter="0"/>
          <w:pgNumType w:start="1"/>
        </w:sectPr>
      </w:pPr>
    </w:p>
    <w:p>
      <w:pPr>
        <w:pStyle w:val="2"/>
        <w:spacing w:line="703" w:lineRule="exact"/>
        <w:ind w:left="663" w:right="0"/>
        <w:jc w:val="center"/>
      </w:pPr>
      <w:r>
        <w:rPr>
          <w:rFonts w:hint="eastAsia" w:ascii="方正小标宋简体" w:hAnsi="方正小标宋简体" w:eastAsia="方正小标宋简体" w:cs="方正小标宋简体"/>
          <w:w w:val="95"/>
        </w:rPr>
        <w:t>市中区农村饮用水水源保护区补充方案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黑体" w:hAnsi="黑体" w:eastAsia="黑体" w:cs="黑体"/>
          <w:w w:val="9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611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w w:val="95"/>
        </w:rPr>
        <w:t>一、农村集中式饮用水水源保护区划分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（一）市中区西</w:t>
      </w:r>
      <w:r>
        <w:rPr>
          <w:rFonts w:hint="eastAsia" w:ascii="仿宋_GB2312" w:hAnsi="仿宋_GB2312" w:eastAsia="仿宋_GB2312" w:cs="仿宋_GB2312"/>
          <w:w w:val="125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</w:rPr>
        <w:t>庄镇前古屯村水源地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一级保护区：东至取水井东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5米，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5米范围内的区域。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二级保护区：东至取水井东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300米范围内的区域(一级保护区范围除外)。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（二）市中区齐村镇单村供水工程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1、北片联村（中良、后良）水源地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一级保护区：东至取水井东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30米，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10米范围内的区域。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二级保护区：东至取水井东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300米范围内的区域(一级保护区范围除外)。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2、李岭联村水源地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一级保护区：东至取水井东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20米，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30米范围内的区域。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二级保护区：东至取水井东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300米范围内的区域(一级保护区范围除外)。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3、郭村单村水源地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一级保护区：东至取水井东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3米，南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2米范围内的区域。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10" w:h="16840"/>
          <w:pgMar w:top="1580" w:right="1360" w:bottom="1580" w:left="1540" w:header="0" w:footer="1388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二级保护区：东至取水井东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300米范围内的区域(一级保护区范围除外)。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4、大刘庄（直饮水站）单村水源地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一级保护区：东至取水井东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7米，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1.5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8米范围内的区域。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二级保护区：东至取水井东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300米范围内的区域(一级保护区范围除外)。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5、银庄单村水源地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一级保护区：东至取水井东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20米，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3米范围内的区域。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二级保护区：东至取水井东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300米范围内的区域(一级保护区范围除外)。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6、建国单村水源地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一级保护区：东至取水井东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10米，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30米范围内的区域。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二级保护区：东至取水井东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300米范围内的区域(一级保护区范围除外)。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7、二街单村水源地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一级保护区：东至取水井东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5米，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2米范围内的区域。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二级保护区：东至取水井东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300米范围内的区域(一级保护区范围除外)。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（三）市中区孟庄镇单村供水工程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1、大郭庄单村水源地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一级保护区：东至取水井东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3米，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10米范围内的区域。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二级保护区：东至取水井东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300米范围内的区域(一级保护区范围除外)。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（四）市中区光明路街道单村供水工程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1、雷村水源地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一级保护区：东至取水井东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5米，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3米范围内的区域。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二级保护区：东至取水井东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300米范围内的区域(一级保护区范围除外)。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）市中区永安镇单村供水工程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1、永西单村水源地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一级保护区：东至取水井东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5米，南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10米范围内的区域。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二级保护区：东至取水井东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300米范围内的区域(一级保护区范围除外)。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2、蔡庄单村水源地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一级保护区：东至取水井东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10米，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30米范围内的区域。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二级保护区：东至取水井东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300米范围内的区域(一级保护区范围除外)。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3、前陈湖单村水源地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一级保护区：东至取水井东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2米，南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7米范围内的区域。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二级保护区：东至取水井东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300米范围内的区域(一级保护区范围除外)。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4、西山阴单村水源地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一级保护区：东至取水井东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5米，南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6米范围内的区域。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二级保护区：东至取水井东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米，西至取水井西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300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300米范围内的区域(一级保护区范围除外)。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</w:pPr>
      <w:r>
        <w:rPr>
          <w:rFonts w:hint="eastAsia" w:ascii="黑体" w:hAnsi="黑体" w:eastAsia="黑体" w:cs="黑体"/>
          <w:w w:val="95"/>
        </w:rPr>
        <w:t>二、农村分散式饮用水水源保护范围（一级保护区）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、永安镇聂庄村水源保护区，东至取水井东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5米，西至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米，南至取水井南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8米范围内的区域。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、永安镇天西村水源保护区，东至取水井东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8米，西至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米，南至取水井南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米范围内的区域。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、孟庄镇小尚岩村水源保护区，东至取水井东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4米，西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8米，南至取水井南15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1米范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围内区域。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、齐村镇土井、马洼村水源保护区，东至取水井东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10米，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米，南至取水井南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8米范围内的区域。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、十里泉村白楼村水源保护区：东至取水井东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5米，西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米，南至取水井南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4米范围内的区域。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6、十里泉村苗庄村水源保护区：东至取水井东5米，西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米，南至取水井南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5米范围内的区域。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、十里泉村盛水庄村水源保护区：东至取水井东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15米，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西至取水井西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米，南至取水井南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20米范围内的区域。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、十里泉村王庄村水源保护区：东至取水井东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3米，西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米，南至取水井南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5米范围内的区域。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、十里泉村石庄村水源保护区：东至取水井东</w:t>
      </w:r>
      <w:r>
        <w:rPr>
          <w:rFonts w:hint="eastAsia" w:ascii="仿宋_GB2312" w:hAnsi="仿宋_GB2312" w:eastAsia="仿宋_GB2312" w:cs="仿宋_GB2312"/>
          <w:sz w:val="32"/>
          <w:szCs w:val="32"/>
        </w:rPr>
        <w:t>15米，西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至取水井西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米，南至取水井南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米，北至取水井北</w:t>
      </w:r>
      <w:r>
        <w:rPr>
          <w:rFonts w:hint="eastAsia" w:ascii="仿宋_GB2312" w:hAnsi="仿宋_GB2312" w:eastAsia="仿宋_GB2312" w:cs="仿宋_GB2312"/>
          <w:sz w:val="32"/>
          <w:szCs w:val="32"/>
        </w:rPr>
        <w:t>8米范围内的区域。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</w:pPr>
      <w:r>
        <w:rPr>
          <w:rFonts w:hint="eastAsia" w:ascii="黑体" w:hAnsi="黑体" w:eastAsia="黑体" w:cs="黑体"/>
          <w:w w:val="95"/>
        </w:rPr>
        <w:t>三、保护措施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（一）禁止新建、扩建向水体排放污染物的建设项目，改</w:t>
      </w:r>
      <w:r>
        <w:rPr>
          <w:rFonts w:hint="eastAsia" w:ascii="仿宋_GB2312" w:hAnsi="仿宋_GB2312" w:eastAsia="仿宋_GB2312" w:cs="仿宋_GB2312"/>
          <w:spacing w:val="1"/>
          <w:w w:val="9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建项目必须削减污染物排放量；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（二）禁止设置污水排放口；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（三</w:t>
      </w:r>
      <w:r>
        <w:rPr>
          <w:rFonts w:hint="eastAsia" w:ascii="仿宋_GB2312" w:hAnsi="仿宋_GB2312" w:eastAsia="仿宋_GB2312" w:cs="仿宋_GB2312"/>
          <w:spacing w:val="-53"/>
          <w:w w:val="95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12"/>
          <w:w w:val="95"/>
          <w:sz w:val="32"/>
          <w:szCs w:val="32"/>
        </w:rPr>
        <w:t>禁止设立剧毒物品仓库、垃圾、粪便、油类和易溶、</w:t>
      </w:r>
      <w:r>
        <w:rPr>
          <w:rFonts w:hint="eastAsia" w:ascii="仿宋_GB2312" w:hAnsi="仿宋_GB2312" w:eastAsia="仿宋_GB2312" w:cs="仿宋_GB2312"/>
          <w:spacing w:val="34"/>
          <w:w w:val="9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废弃物堆放场和转运站，已有的上述场站要限期搬迁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</w:t>
      </w:r>
      <w:r>
        <w:rPr>
          <w:rFonts w:hint="eastAsia" w:ascii="仿宋_GB2312" w:hAnsi="仿宋_GB2312" w:eastAsia="仿宋_GB2312" w:cs="仿宋_GB2312"/>
          <w:spacing w:val="-106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禁止破坏饮用水水源的开山采石、采砂和围水造田；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（五）禁止破坏饮用水水源涵养林、护岸林以及与饮用水</w:t>
      </w:r>
      <w:r>
        <w:rPr>
          <w:rFonts w:hint="eastAsia" w:ascii="仿宋_GB2312" w:hAnsi="仿宋_GB2312" w:eastAsia="仿宋_GB2312" w:cs="仿宋_GB2312"/>
          <w:spacing w:val="1"/>
          <w:w w:val="9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水源保护相关的植物；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（六）禁止新建、扩建、改建规模化畜禽等动物养殖场、屠</w:t>
      </w:r>
      <w:r>
        <w:rPr>
          <w:rFonts w:hint="eastAsia" w:ascii="仿宋_GB2312" w:hAnsi="仿宋_GB2312" w:eastAsia="仿宋_GB2312" w:cs="仿宋_GB2312"/>
          <w:sz w:val="32"/>
          <w:szCs w:val="32"/>
        </w:rPr>
        <w:t>宰场；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（七）禁止建设饭店、度假村、游乐园、疗养院等设施；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（八）运输剧毒物品的，应当经公安机关批准，并采取有</w:t>
      </w:r>
      <w:r>
        <w:rPr>
          <w:rFonts w:hint="eastAsia" w:ascii="仿宋_GB2312" w:hAnsi="仿宋_GB2312" w:eastAsia="仿宋_GB2312" w:cs="仿宋_GB2312"/>
          <w:spacing w:val="1"/>
          <w:w w:val="9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效的防渗、防漏、防扩散等措施；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（九）存放、运输和使用酸液、碱液、油类、农药、化肥</w:t>
      </w:r>
      <w:r>
        <w:rPr>
          <w:rFonts w:hint="eastAsia" w:ascii="仿宋_GB2312" w:hAnsi="仿宋_GB2312" w:eastAsia="仿宋_GB2312" w:cs="仿宋_GB2312"/>
          <w:spacing w:val="1"/>
          <w:w w:val="9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以及其他可能污染饮用水水源的物品，应当采取防溢、防渗、防</w:t>
      </w:r>
      <w:r>
        <w:rPr>
          <w:rFonts w:hint="eastAsia" w:ascii="仿宋_GB2312" w:hAnsi="仿宋_GB2312" w:eastAsia="仿宋_GB2312" w:cs="仿宋_GB2312"/>
          <w:sz w:val="32"/>
          <w:szCs w:val="32"/>
        </w:rPr>
        <w:t>漏等措施和事故应急措施，防止污染饮用水水源；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对现已存在的不符合以上规定的设施和生产活动，由</w:t>
      </w:r>
      <w:r>
        <w:rPr>
          <w:rFonts w:hint="eastAsia" w:ascii="仿宋_GB2312" w:hAnsi="仿宋_GB2312" w:eastAsia="仿宋_GB2312" w:cs="仿宋_GB2312"/>
          <w:spacing w:val="-16"/>
          <w:w w:val="95"/>
          <w:sz w:val="32"/>
          <w:szCs w:val="32"/>
        </w:rPr>
        <w:t>有关部门配合，开展联合整治，根据实际情况限期拆除或纠正。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四、组织领导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为加强农村饮用水集中式供水水源保护工作，各有关部门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要各司其职，加强协作。城乡水务部门负责城市污水处理；搞</w:t>
      </w:r>
      <w:r>
        <w:rPr>
          <w:rFonts w:hint="eastAsia" w:ascii="仿宋_GB2312" w:hAnsi="仿宋_GB2312" w:eastAsia="仿宋_GB2312" w:cs="仿宋_GB2312"/>
          <w:spacing w:val="-15"/>
          <w:w w:val="95"/>
          <w:sz w:val="32"/>
          <w:szCs w:val="32"/>
        </w:rPr>
        <w:t>好水源地上游水土流失治理，优化配置、科学调度城乡水资源，</w:t>
      </w:r>
      <w:r>
        <w:rPr>
          <w:rFonts w:hint="eastAsia" w:ascii="仿宋_GB2312" w:hAnsi="仿宋_GB2312" w:eastAsia="仿宋_GB2312" w:cs="仿宋_GB2312"/>
          <w:spacing w:val="80"/>
          <w:w w:val="9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保障农村供水水量供应。生态环境部门负责对农村饮用水水源</w:t>
      </w:r>
      <w:r>
        <w:rPr>
          <w:rFonts w:hint="eastAsia" w:ascii="仿宋_GB2312" w:hAnsi="仿宋_GB2312" w:eastAsia="仿宋_GB2312" w:cs="仿宋_GB2312"/>
          <w:sz w:val="32"/>
          <w:szCs w:val="32"/>
        </w:rPr>
        <w:t>地污染的监督管理，防止农村饮用水源地遭受污染，制定突发性水污染事件的应急处理预案，在水源地受到严重污染、威胁供水安全等紧急情况下，采取强制性应急措施。环卫部门负责生活垃圾的收集、清运和无害化处理的监督管理，规范粪便、垃圾处理场站；公安部门负责剧毒、危险化学品的运输安全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加强饮用水水源地治安管理；应急管理部门负责对剧毒等危险</w:t>
      </w:r>
      <w:r>
        <w:rPr>
          <w:rFonts w:hint="eastAsia" w:ascii="仿宋_GB2312" w:hAnsi="仿宋_GB2312" w:eastAsia="仿宋_GB2312" w:cs="仿宋_GB2312"/>
          <w:sz w:val="32"/>
          <w:szCs w:val="32"/>
        </w:rPr>
        <w:t>化学品生产、储存、使用、经营企业的安全监督管理；农业农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村部门协同属地政府做好农业种植业生产对饮用水水源污染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的监督管理；协同属地政府做好畜禽养殖业生产对饮用水水源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污染的监督管理；自然资源部门负责保护区内水源涵养林发展</w:t>
      </w:r>
      <w:r>
        <w:rPr>
          <w:rFonts w:hint="eastAsia" w:ascii="仿宋_GB2312" w:hAnsi="仿宋_GB2312" w:eastAsia="仿宋_GB2312" w:cs="仿宋_GB2312"/>
          <w:spacing w:val="-13"/>
          <w:w w:val="95"/>
          <w:sz w:val="32"/>
          <w:szCs w:val="32"/>
        </w:rPr>
        <w:t>和利用规划的制定和实施，做好涵养林地植被保护管理；发改、</w:t>
      </w:r>
      <w:r>
        <w:rPr>
          <w:rFonts w:hint="eastAsia" w:ascii="仿宋_GB2312" w:hAnsi="仿宋_GB2312" w:eastAsia="仿宋_GB2312" w:cs="仿宋_GB2312"/>
          <w:spacing w:val="80"/>
          <w:w w:val="9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工信、财政、市场监管、旅服等管理部门应按照饮用水水源保护要求，做好产业结构调整和建设项目布局，落实饮用水水源保护资金及各项政策。各镇街和村（居），应当教育和督促村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民遵守本办法各项规定，做好区域内生活污水和垃圾集中清运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处置工作，支持配合环保部门和有关部门查处污染和破坏饮用</w:t>
      </w:r>
      <w:r>
        <w:rPr>
          <w:rFonts w:hint="eastAsia" w:ascii="仿宋_GB2312" w:hAnsi="仿宋_GB2312" w:eastAsia="仿宋_GB2312" w:cs="仿宋_GB2312"/>
          <w:sz w:val="32"/>
          <w:szCs w:val="32"/>
        </w:rPr>
        <w:t>水水源保护区的违法行为。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/>
        <w:textAlignment w:val="auto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  <w:bookmarkStart w:id="0" w:name="_GoBack"/>
      <w:bookmarkEnd w:id="0"/>
    </w:p>
    <w:p>
      <w:pPr>
        <w:pStyle w:val="3"/>
        <w:ind w:left="0"/>
        <w:rPr>
          <w:sz w:val="20"/>
        </w:rPr>
      </w:pPr>
    </w:p>
    <w:p>
      <w:pPr>
        <w:pStyle w:val="3"/>
        <w:spacing w:before="15"/>
        <w:ind w:left="0"/>
        <w:rPr>
          <w:sz w:val="26"/>
        </w:rPr>
      </w:pPr>
      <w:r>
        <w:pict>
          <v:shape id="_x0000_s1030" o:spid="_x0000_s1030" style="position:absolute;left:0pt;margin-left:78.3pt;margin-top:26.3pt;height:0.1pt;width:438.6pt;mso-position-horizontal-relative:page;mso-wrap-distance-bottom:0pt;mso-wrap-distance-top:0pt;z-index:-15727616;mso-width-relative:page;mso-height-relative:page;" filled="f" stroked="t" coordorigin="1567,527" coordsize="8772,0" path="m1567,527l10339,527e">
            <v:path arrowok="t"/>
            <v:fill on="f" focussize="0,0"/>
            <v:stroke weight="0.96pt" color="#000000"/>
            <v:imagedata o:title=""/>
            <o:lock v:ext="edit"/>
            <w10:wrap type="topAndBottom"/>
          </v:shape>
        </w:pict>
      </w:r>
    </w:p>
    <w:p>
      <w:pPr>
        <w:pStyle w:val="3"/>
        <w:tabs>
          <w:tab w:val="left" w:pos="5907"/>
        </w:tabs>
        <w:spacing w:before="80" w:after="14"/>
        <w:ind w:left="135"/>
      </w:pPr>
      <w:r>
        <w:rPr>
          <w:rFonts w:hint="eastAsia" w:ascii="仿宋_GB2312" w:hAnsi="仿宋_GB2312" w:eastAsia="仿宋_GB2312" w:cs="仿宋_GB2312"/>
          <w:sz w:val="28"/>
          <w:szCs w:val="28"/>
        </w:rPr>
        <w:t>市中区人民政府办公室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2021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-17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30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</w:t>
      </w:r>
    </w:p>
    <w:p>
      <w:pPr>
        <w:pStyle w:val="3"/>
        <w:spacing w:line="20" w:lineRule="exact"/>
        <w:ind w:left="17"/>
        <w:rPr>
          <w:b w:val="0"/>
          <w:sz w:val="2"/>
        </w:rPr>
      </w:pPr>
      <w:r>
        <w:rPr>
          <w:b w:val="0"/>
          <w:sz w:val="2"/>
        </w:rPr>
        <w:pict>
          <v:group id="_x0000_s1031" o:spid="_x0000_s1031" o:spt="203" style="height:1pt;width:438.6pt;" coordsize="8772,20">
            <o:lock v:ext="edit"/>
            <v:line id="_x0000_s1032" o:spid="_x0000_s1032" o:spt="20" style="position:absolute;left:0;top:10;height:0;width:8772;" stroked="t" coordsize="21600,21600">
              <v:path arrowok="t"/>
              <v:fill focussize="0,0"/>
              <v:stroke weight="0.96pt" color="#000000"/>
              <v:imagedata o:title=""/>
              <o:lock v:ext="edit"/>
            </v:line>
            <w10:wrap type="none"/>
            <w10:anchorlock/>
          </v:group>
        </w:pict>
      </w:r>
    </w:p>
    <w:sectPr>
      <w:pgSz w:w="11910" w:h="16840"/>
      <w:pgMar w:top="1580" w:right="1360" w:bottom="1580" w:left="1540" w:header="0" w:footer="138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dobe Arabic">
    <w:panose1 w:val="02040503050201020203"/>
    <w:charset w:val="00"/>
    <w:family w:val="auto"/>
    <w:pitch w:val="default"/>
    <w:sig w:usb0="8000202F" w:usb1="8000A04A" w:usb2="00000008" w:usb3="00000000" w:csb0="20000041" w:csb1="00000000"/>
  </w:font>
  <w:font w:name="Adobe Garamond Pro">
    <w:panose1 w:val="02020502060506020403"/>
    <w:charset w:val="00"/>
    <w:family w:val="auto"/>
    <w:pitch w:val="default"/>
    <w:sig w:usb0="00000007" w:usb1="00000001" w:usb2="00000000" w:usb3="00000000" w:csb0="20000093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Lithos Pro Regular">
    <w:panose1 w:val="04020505030E02020A04"/>
    <w:charset w:val="00"/>
    <w:family w:val="auto"/>
    <w:pitch w:val="default"/>
    <w:sig w:usb0="00000087" w:usb1="00000000" w:usb2="00000000" w:usb3="00000000" w:csb0="2000009B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rajan Pro 3">
    <w:panose1 w:val="02020502050503020301"/>
    <w:charset w:val="00"/>
    <w:family w:val="auto"/>
    <w:pitch w:val="default"/>
    <w:sig w:usb0="20000287" w:usb1="00000001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ource Sans Pro Semibold">
    <w:panose1 w:val="020B0603030403020204"/>
    <w:charset w:val="00"/>
    <w:family w:val="auto"/>
    <w:pitch w:val="default"/>
    <w:sig w:usb0="20000007" w:usb1="00000001" w:usb2="00000000" w:usb3="00000000" w:csb0="20000193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b w:val="0"/>
        <w:sz w:val="20"/>
      </w:rPr>
    </w:pPr>
    <w:r>
      <w:pict>
        <v:shape id="_x0000_s2049" o:spid="_x0000_s2049" o:spt="202" type="#_x0000_t202" style="position:absolute;left:0pt;margin-left:455.95pt;margin-top:761.45pt;height:19.7pt;width:61.05pt;mso-position-horizontal-relative:page;mso-position-vertical-relative:page;z-index:-158423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93" w:lineRule="exact"/>
                  <w:ind w:left="20" w:right="0" w:firstLine="0"/>
                  <w:jc w:val="left"/>
                  <w:rPr>
                    <w:rFonts w:ascii="宋体" w:hAnsi="宋体"/>
                    <w:sz w:val="32"/>
                  </w:rPr>
                </w:pPr>
                <w:r>
                  <w:rPr>
                    <w:rFonts w:ascii="宋体" w:hAnsi="宋体"/>
                    <w:sz w:val="32"/>
                  </w:rPr>
                  <w:t>—</w:t>
                </w:r>
                <w:r>
                  <w:rPr>
                    <w:rFonts w:ascii="宋体" w:hAnsi="宋体"/>
                    <w:spacing w:val="2"/>
                    <w:sz w:val="3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78"/>
                    <w:sz w:val="32"/>
                  </w:rPr>
                  <w:t xml:space="preserve"> </w:t>
                </w:r>
                <w:r>
                  <w:rPr>
                    <w:rFonts w:ascii="宋体" w:hAnsi="宋体"/>
                    <w:sz w:val="32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b w:val="0"/>
        <w:sz w:val="20"/>
      </w:rPr>
    </w:pPr>
    <w:r>
      <w:pict>
        <v:shape id="_x0000_s2050" o:spid="_x0000_s2050" o:spt="202" type="#_x0000_t202" style="position:absolute;left:0pt;margin-left:81.15pt;margin-top:761.45pt;height:19.7pt;width:61.05pt;mso-position-horizontal-relative:page;mso-position-vertical-relative:page;z-index:-158423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93" w:lineRule="exact"/>
                  <w:ind w:left="20" w:right="0" w:firstLine="0"/>
                  <w:jc w:val="left"/>
                  <w:rPr>
                    <w:rFonts w:ascii="宋体" w:hAnsi="宋体"/>
                    <w:sz w:val="32"/>
                  </w:rPr>
                </w:pPr>
                <w:r>
                  <w:rPr>
                    <w:rFonts w:ascii="宋体" w:hAnsi="宋体"/>
                    <w:sz w:val="32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2"/>
                    <w:sz w:val="32"/>
                  </w:rPr>
                  <w:t xml:space="preserve"> </w:t>
                </w:r>
                <w:r>
                  <w:rPr>
                    <w:rFonts w:ascii="宋体" w:hAnsi="宋体"/>
                    <w:sz w:val="32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4"/>
  </w:compat>
  <w:rsids>
    <w:rsidRoot w:val="00000000"/>
    <w:rsid w:val="09322358"/>
    <w:rsid w:val="5FCE5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YaHei UI" w:hAnsi="Microsoft YaHei UI" w:eastAsia="Microsoft YaHei UI" w:cs="Microsoft YaHei U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37" w:right="610"/>
      <w:jc w:val="center"/>
      <w:outlineLvl w:val="1"/>
    </w:pPr>
    <w:rPr>
      <w:rFonts w:ascii="Microsoft YaHei UI" w:hAnsi="Microsoft YaHei UI" w:eastAsia="Microsoft YaHei UI" w:cs="Microsoft YaHei UI"/>
      <w:b/>
      <w:bCs/>
      <w:sz w:val="44"/>
      <w:szCs w:val="4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744"/>
    </w:pPr>
    <w:rPr>
      <w:rFonts w:ascii="Microsoft YaHei UI" w:hAnsi="Microsoft YaHei UI" w:eastAsia="Microsoft YaHei UI" w:cs="Microsoft YaHei UI"/>
      <w:b/>
      <w:bCs/>
      <w:sz w:val="32"/>
      <w:szCs w:val="3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1027"/>
    <customShpInfo spid="_x0000_s1028"/>
    <customShpInfo spid="_x0000_s1026"/>
    <customShpInfo spid="_x0000_s1029"/>
    <customShpInfo spid="_x0000_s1030"/>
    <customShpInfo spid="_x0000_s1032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ScaleCrop>false</ScaleCrop>
  <LinksUpToDate>false</LinksUpToDate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2021-10-15T03:15:00Z</dcterms:created>
  <dc:creator>lenovo</dc:creator>
  <cp:lastModifiedBy>lenovo</cp:lastModifiedBy>
  <dcterms:modified xsi:type="dcterms:W3CDTF">2021-10-15T04:37:39Z</dcterms:modified>
  <dc:title>XX区人民政府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2021-10-15T00:00:00Z</vt:filetime>
  </property>
  <property fmtid="{D5CDD505-2E9C-101B-9397-08002B2CF9AE}" pid="5" name="KSOProductBuildVer">
    <vt:lpwstr>2052-11.8.6.8556</vt:lpwstr>
  </property>
</Properties>
</file>